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方正小标宋简体" w:hAnsi="小标宋" w:eastAsia="方正小标宋简体" w:cs="小标宋"/>
          <w:b/>
          <w:bCs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sz w:val="44"/>
          <w:szCs w:val="44"/>
        </w:rPr>
        <w:t>2021年新疆政法学院人才引进基本条件及待遇表</w:t>
      </w:r>
    </w:p>
    <w:tbl>
      <w:tblPr>
        <w:tblStyle w:val="3"/>
        <w:tblW w:w="14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4464"/>
        <w:gridCol w:w="2551"/>
        <w:gridCol w:w="1276"/>
        <w:gridCol w:w="1129"/>
        <w:gridCol w:w="1423"/>
        <w:gridCol w:w="1231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引进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对象</w:t>
            </w:r>
          </w:p>
        </w:tc>
        <w:tc>
          <w:tcPr>
            <w:tcW w:w="44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分类条件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住房待遇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（税前）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科研启动经费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（税前）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特聘津贴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（税前）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收入待遇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（税前）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职称待遇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其他待遇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杰出人才</w:t>
            </w:r>
          </w:p>
        </w:tc>
        <w:tc>
          <w:tcPr>
            <w:tcW w:w="446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“两院”院士；国家“特支计划”杰出人才；哲学社会科学领域做出创造性成就和重大贡献、学术声望高的资深教授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面议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面议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面议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面议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配备工作助手，提供实验室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领军人才</w:t>
            </w:r>
          </w:p>
        </w:tc>
        <w:tc>
          <w:tcPr>
            <w:tcW w:w="446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“特支计划”领军人才；国家“千人计划”创新人才项目入选者（不含地方项目）；教育部“长江学者”特聘教授、讲座教授；国家教学名师；国家自然科学基金杰出青年基金获得者；国家重大科技专项、重点研发计划等项目首席科学家；国家自然（社会）科学基金重大项目负责人；国家科学技术奖获得者（一等奖前两名、二等奖排名第一）；中国高校人文社会科学研究优秀成果奖一等奖（排名第一）；其他相当学术水平的知名学者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提供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150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平米以上住房一套，服务期满5年，产权归己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自然科学400万、社会科学100万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聘期内享受不低于80万/年（或不低于6万/月）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面议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配备工作助手，提供实验室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拔尖人才</w:t>
            </w:r>
          </w:p>
        </w:tc>
        <w:tc>
          <w:tcPr>
            <w:tcW w:w="446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国家“特支计划”青年拔尖人才；国家“百千万人才工程”人选；国家“青年千人计划”入选者；教育部“长江学者” 青年学者；国家自然科学基金优秀青年科学基金获得者；教育部创新团队负责人；科技部创新团队负责人；国家自然（社会）科学基金重点项目负责人；国家重大科技专项、重点研发计划等在研项目负责人；省级教学名师；省部级科学技术奖一等奖（排名第一）；中国高校人文社会科学研究成果奖二等奖（排名第一）；主持横向课题经费累计1000万元以上或作为成果第一完成人实现成果转化500万元以上；国家级教学成果奖获得者（一等奖前两名，二等奖排名第一）；国家级规划教材主编排名第一；其他相当学术水平的知名学者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提供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150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平米以上住房一套，服务期满5年，产权归己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自然科学200万、社会科学50万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聘期内享受不低于60万/年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面议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配备工作助手，提供实验室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07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博士</w:t>
            </w:r>
          </w:p>
        </w:tc>
        <w:tc>
          <w:tcPr>
            <w:tcW w:w="446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第一层次自然科学学科：近5年以第一作者或通讯作者在SCI刊源刊物上全文发表1篇以上单篇影响因子≥5.0的学术文章或全文发表2篇以上影响因子≥4.0的学术文章或在JCR检索源2区刊物上全文发表3篇以上（其中1区需有1篇以上）的学术文章；人文社会科学学科：近5年以第一作者在SSCI或A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&amp;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HCI刊源刊物上全文发表1篇以上学术文章或以第一作者在CSSCI来源期刊发表本专业学术文章5篇以上；或相当学术水平的博士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提供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150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平米住房一套，服务期满5年，产权归己（夫妻为双博士且都享受住房待遇的，另一方按住房成本价和合同期逐年发放现金）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自然科学40万元，社会科学20万元（以项目申报立项形式给予资助）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年度考核合格，完成工作任务，年均收入不低于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一年期满，按引人条件进行考核，合格者有资格聘为教授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安家费2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万元。提供计算机等办公设备购置费补助1万元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46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第二层次自然科学学科：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近5年以第一作者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或通讯作者在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中科院JCR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检索源1区刊物上全文发表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论文1篇，或二区论文2篇；人文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社会科学学科：近5年以第一作者在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CSSCI来源期刊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发表本专业学术文章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3篇以上；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或相当学术水平的博士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提供1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0平米住房一套，服务期满5年，产权归己（夫妻为双博士且都享受住房待遇的，另一方按住房成本价和合同期逐年发放现金）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自然科学30万元，社会科学10万元（以项目申报立项形式给予资助）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年度考核合格，完成工作任务，年均收入不低于30万元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一年期满，按引人条件进行考核，合格者有资格聘为副教授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安家费1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万元。提供计算机等办公设备购置费补助1万元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46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第三层次：第一层次、第二层次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之外的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提供1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0平米住房一套，服务期满5年，产权归己（夫妻为双博士且都享受住房待遇的，另一方按住房成本价和合同期逐年发放现金）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自然科学20万元，社会科学8万元（以项目申报立项形式给予资助）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年度考核合格，完成工作任务，年均收入不低于25万元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一年期满，按引人条件进行考核，合格者有资格聘为副教授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安家费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万元。提供计算机等办公设备购置费补助1万元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07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硕士</w:t>
            </w:r>
          </w:p>
        </w:tc>
        <w:tc>
          <w:tcPr>
            <w:tcW w:w="446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提供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0平方米左右住房一套，服务期满5年，产权归己（夫妻为双硕士且都享受住房待遇的，另一方按住房成本价和合同期逐年发放现金）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自然科学3-5万元，社会科学1-2万元（以项目申报立项形式给予资助）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年度考核合格，完成工作任务，年均收入不低于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一年期满，按引人条件进行考核，合格者有资格聘为讲师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安家费6万元。提供计算机等办公设备购置费补助1万元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正高级职称人员</w:t>
            </w:r>
          </w:p>
        </w:tc>
        <w:tc>
          <w:tcPr>
            <w:tcW w:w="446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高校教师系列、研究系列、学校发展需要的职业技能系列，前一年度考核合格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提供150平方米左右住房一套，服务期满5年，产权归己（夫妻为高级职称且都享受住房待遇的，另一方按住房成本价和合同期逐年发放现金）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自然科学40万元，社会科学20万元（以项目申报立项形式给予资助）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年度考核合格，完成任务，年均收入不低于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按照原职级待遇兑现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安家费2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副高级职称人员</w:t>
            </w:r>
          </w:p>
        </w:tc>
        <w:tc>
          <w:tcPr>
            <w:tcW w:w="446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高校教师系列、研究系列、学校发展需要的职业技能系列，前一年度考核合格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提供1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平方米左右住房一套，服务期满5年，产权归己（夫妻为高级职称且都享受住房待遇的，另一方按住房成本价和合同期逐年发放现金）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自然科学30万元，社会科学10万元（以项目申报立项形式给予资助）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年度考核合格，完成任务，年均收入不低于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按照原职级待遇兑现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安家费1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中级职称人员</w:t>
            </w:r>
          </w:p>
        </w:tc>
        <w:tc>
          <w:tcPr>
            <w:tcW w:w="446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高校教师系列、研究系列、学校发展需要的职业技能系列，前一年度考核合格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提供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0平方米左右住房一套，服务满5年，住房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归个人所有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自然科学3-5万元，社会科学1-2万元（以项目申报立项形式给予资助）</w:t>
            </w: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年度考核合格，完成任务，年均收入不低于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按照原职级待遇兑现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安家费6万元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4458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1. 所有引进人员应符合教师职业道德规范，身心健康，有较强的教学、科研能力； 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 年龄要求原则上人才引进正高级职称人员不超过5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周岁，副高级职称不超过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50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周岁，博士不超过45周岁，硕士不超过35周岁，紧缺专业人才年龄可适当放宽；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3. 全日制普通高校毕业，按岗位学历要求取得毕业证、学位证（原则上为学术型）；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4. 人才引进服务期最低年限8年；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.经双方达成初步招聘意向，来校面试的硕士及以上应聘人员，学校报销来校面试的一次往返路费以及来校工作的单程路费（可乘坐飞机经济舱位，须提供登机牌、机票、银行卡号），来校工作者，报销来校体检费；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引进人才协调妥善解决配偶就业；子女就学，根据师市相关政策优先安排，在满足自治区高考政策前提下，高考可报“南疆单列计划”，享受南疆高考加分政策；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表中所示“收入待遇”，为税前收入，包含五险二金、师市引人补助、人才津贴等。</w:t>
            </w:r>
          </w:p>
          <w:p>
            <w:pPr>
              <w:spacing w:line="24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8.柔性引进人员，一事一议。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</w:tbl>
    <w:p>
      <w:pPr>
        <w:pStyle w:val="2"/>
      </w:pPr>
    </w:p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B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660" w:lineRule="exact"/>
      <w:jc w:val="center"/>
      <w:outlineLvl w:val="0"/>
    </w:pPr>
    <w:rPr>
      <w:rFonts w:ascii="方正小标宋简体" w:hAnsi="宋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2021-05-21T10:30:16Z</dcterms:created>
  <dc:creator>DELL</dc:creator>
  <cp:lastModifiedBy>PeanuTnT</cp:lastModifiedBy>
  <dcterms:modified xsi:type="dcterms:W3CDTF">2021-05-21T10:31:18Z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